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b/>
          <w:color w:val="auto"/>
          <w:spacing w:val="0"/>
          <w:position w:val="0"/>
          <w:sz w:val="24"/>
          <w:shd w:fill="auto" w:val="clear"/>
        </w:rPr>
        <w:t xml:space="preserve">Before Reading: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Should there be limits on free speech? Why or why not?</w:t>
      </w:r>
    </w:p>
    <w:p>
      <w:pPr>
        <w:numPr>
          <w:ilvl w:val="0"/>
          <w:numId w:val="2"/>
        </w:numPr>
        <w:spacing w:before="0" w:after="0" w:line="240"/>
        <w:ind w:right="0" w:left="720" w:hanging="36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yes, there should be a limite fo freedom opf speech because sometimes people take advantage of it to hurt others feelings. 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If there should be limits on free speech, who should decide those limits? What should those limits be? Explain.</w:t>
      </w:r>
    </w:p>
    <w:p>
      <w:pPr>
        <w:numPr>
          <w:ilvl w:val="0"/>
          <w:numId w:val="4"/>
        </w:numPr>
        <w:spacing w:before="0" w:after="0" w:line="240"/>
        <w:ind w:right="0" w:left="720" w:hanging="36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i think the president should decide those limits ,those limit should be about racism because some people hurt people feelings by being racist.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Should students in school have the same free speech rights as adults? Explain.</w:t>
      </w:r>
    </w:p>
    <w:p>
      <w:pPr>
        <w:numPr>
          <w:ilvl w:val="0"/>
          <w:numId w:val="7"/>
        </w:numPr>
        <w:spacing w:before="0" w:after="200" w:line="276"/>
        <w:ind w:right="0" w:left="720" w:hanging="36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no, because they dont have the same way of thinking</w:t>
      </w:r>
    </w:p>
    <w:p>
      <w:pPr>
        <w:spacing w:before="0" w:after="200" w:line="276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enturySchoolbook-Italic" w:hAnsi="CenturySchoolbook-Italic" w:cs="CenturySchoolbook-Italic" w:eastAsia="CenturySchoolbook-Italic"/>
          <w:i/>
          <w:color w:val="auto"/>
          <w:spacing w:val="0"/>
          <w:position w:val="0"/>
          <w:sz w:val="32"/>
          <w:shd w:fill="auto" w:val="clear"/>
        </w:rPr>
      </w:pPr>
      <w:r>
        <w:rPr>
          <w:rFonts w:ascii="CenturySchoolbook-Italic" w:hAnsi="CenturySchoolbook-Italic" w:cs="CenturySchoolbook-Italic" w:eastAsia="CenturySchoolbook-Italic"/>
          <w:i/>
          <w:color w:val="auto"/>
          <w:spacing w:val="0"/>
          <w:position w:val="0"/>
          <w:sz w:val="32"/>
          <w:shd w:fill="auto" w:val="clear"/>
        </w:rPr>
        <w:t xml:space="preserve">Tinker v. Des Moines Independent Community School Dist., 393 U.S. 503, (1969).</w:t>
      </w:r>
    </w:p>
    <w:p>
      <w:pPr>
        <w:spacing w:before="0" w:after="0" w:line="240"/>
        <w:ind w:right="0" w:left="0" w:firstLine="0"/>
        <w:jc w:val="left"/>
        <w:rPr>
          <w:rFonts w:ascii="CenturySchoolbook-Italic" w:hAnsi="CenturySchoolbook-Italic" w:cs="CenturySchoolbook-Italic" w:eastAsia="CenturySchoolbook-Italic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This case involved students who were forbidden by school officials to wear black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armbands in school to protest the war in Viet Nam. It was the first student’s rights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case to go before the U.S. Supreme Court.</w:t>
      </w:r>
    </w:p>
    <w:p>
      <w:pPr>
        <w:spacing w:before="0" w:after="0" w:line="240"/>
        <w:ind w:right="0" w:left="0" w:firstLine="0"/>
        <w:jc w:val="left"/>
        <w:rPr>
          <w:rFonts w:ascii="CenturySchoolbook-Italic" w:hAnsi="CenturySchoolbook-Italic" w:cs="CenturySchoolbook-Italic" w:eastAsia="CenturySchoolbook-Italic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In December 1965, a group of adults and students in Des Moines [Iowa] held a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meeting at … home. The group determined to publicize their objections to the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hostilities in Viet Nam and their support for a truce by wearing black armbands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during the holiday season….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The principals of the Des Moines schools became aware of the plan to wear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armbands. On December 14, 1965, they met and adopted a policy that any student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wearing an armband to school would be asked to remove it, and if he refused he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would be suspended until he returned without the armband. Petitioners [students]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were aware of the regulation that the school authorities adopted.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On December 16, Mary Beth and Christopher wore black armbands to their schools.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John </w:t>
      </w:r>
      <w:r>
        <w:rPr>
          <w:rFonts w:ascii="CenturySchoolbook-Italic" w:hAnsi="CenturySchoolbook-Italic" w:cs="CenturySchoolbook-Italic" w:eastAsia="CenturySchoolbook-Italic"/>
          <w:i/>
          <w:color w:val="auto"/>
          <w:spacing w:val="0"/>
          <w:position w:val="0"/>
          <w:sz w:val="24"/>
          <w:shd w:fill="auto" w:val="clear"/>
        </w:rPr>
        <w:t xml:space="preserve">Tinker </w:t>
      </w: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wore his armband the next day. They were all sent home and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suspended from school until they would come back without their armbands. They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did not return to school until after the planned period for wearing armbands had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expired - that is, until after New Year's Day.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…As we shall discuss, the wearing of armbands in the circumstances of this case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was entirely divorced from actually or potentially disruptive conduct by those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participating in it. It was closely akin to "pure speech" which, we have repeatedly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held, is entitled to comprehensive protection under the First Amendment.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… It can hardly be argued that either students or teachers shed their constitutional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rights to freedom of speech or expression at the schoolhouse gate.…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… These [Boards of Education] have, of course, important, delicate, and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highly discretionary functions, but none that they may not perform within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the limits of the Bill of Rights. That they are educating the young for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citizenship is reason for scrupulous protection of Constitutional freedoms of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the individual, if we are not to strangle the free mind at its source and teach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youth to discount important principles of our government as mere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platitudes."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On the other hand, the Court has repeatedly emphasized the need for affirming the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comprehensive authority of the States and of school officials, consistent with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fundamental constitutional safeguards, to prescribe and control conduct in the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schools. Our problem lies in the area where students in the exercise of First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Amendment rights collide with the rules of the school authorities.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The school officials banned and sought to punish petitioners for a silent, passive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expression of opinion, unaccompanied by any disorder or disturbance on the part of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petitioners. There is here no evidence whatever of … interference… with the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schools' work or of collision with the rights of other students to be secure and to be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let alone. …</w:t>
      </w:r>
    </w:p>
    <w:p>
      <w:pPr>
        <w:spacing w:before="0" w:after="0" w:line="240"/>
        <w:ind w:right="0" w:left="0" w:firstLine="0"/>
        <w:jc w:val="left"/>
        <w:rPr>
          <w:rFonts w:ascii="TimesNewRoman,Italic" w:hAnsi="TimesNewRoman,Italic" w:cs="TimesNewRoman,Italic" w:eastAsia="TimesNewRoman,Italic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Only a few of the 18,000 students in the school system wore the black armbands.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Only five students were suspended for wearing them. There is no indication that the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work of the schools or any class was disrupted. Outside the classrooms, a few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students made hostile remarks to the children wearing armbands, but there were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no threats or acts of violence on school premises.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[It was] … concluded [by a lower court] that the action of the school authorities was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reasonable because it was based upon their fear of a disturbance from the wearing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of the armbands. But, in our system, undifferentiated fear or apprehension of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disturbance is not enough to overcome the right to freedom of expression. … Any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variation from the majority's opinion may inspire fear. Any word spoken, in class, in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the lunchroom, or on the campus, that deviates from the views of another person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may start an argument or cause a disturbance. But our Constitution says we must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take this risk, … and our history says that it is this sort of hazardous freedom - this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kind of openness - that is the basis of our national strength and of the independence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and vigor of Americans who grow up and live in this relatively permissive, often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disputatious, society.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In order for … school officials to justify prohibition of a particular expression of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opinion, it must be able to show that its action was caused by something more than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a mere desire to avoid the discomfort and unpleasantness that always accompany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an unpopular viewpoint. …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… the action of the school authorities appears to have been based upon an urgent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wish to avoid the controversy which might result from the expression, even by the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silent symbol of armbands, of opposition to this Nation's part in … Viet Nam.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It is also relevant that the school authorities did not purport to prohibit the wearing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of all symbols of political or controversial significance. The record shows that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students in some of the schools wore buttons relating to national political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campaigns, and some even wore the Iron Cross, traditionally a symbol of Nazism.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The order prohibiting the wearing of armbands did not extend to these. Instead, a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particular symbol - black armbands worn to exhibit opposition to this Nation's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involvement in Viet Nam - was singled out for prohibition. Clearly, the prohibition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of expression of one particular opinion, at least without evidence that it is necessary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to avoid material and substantial interference with schoolwork or discipline, is not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constitutionally permissible.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…School officials do not possess absolute authority over their students. Students in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school as well as out of school are "persons" under our Constitution. …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… Mr. Justice Brennan, speaking for the [Supreme] Court, said: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"`The vigilant protection of constitutional freedoms is nowhere more vital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than in the community of American schools.' The classroom is peculiarly the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`marketplace of ideas.' The Nation's future depends upon leaders trained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through wide exposure to that robust exchange of ideas which discovers truth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`out of a multitude of tongues, [rather] than through any kind of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authoritative selection.'"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… A student's rights, therefore, do not embrace merely the classroom hours. When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he is in the cafeteria, or on the playing field, or on the campus during the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authorized hours, he may express his opinions, even on controversial subjects like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the conflict in Viet Nam, if he does so without "materially and substantially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interfer[ing] with the requirements of appropriate discipline in the operation of the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school" and without colliding with the rights of others. But conduct by the student,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in class or out of it, which for any reason - whether it stems from time, place, or type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of behavior - materially disrupts classwork or involves substantial disorder or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invasion of the rights of others is, of course, not immunized by the constitutional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guarantee of freedom of speech.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As we have discussed, the record does not demonstrate any facts which might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reasonably have led school authorities to forecast substantial disruption of or</w:t>
      </w:r>
    </w:p>
    <w:p>
      <w:pPr>
        <w:spacing w:before="0" w:after="0" w:line="240"/>
        <w:ind w:right="0" w:left="0" w:firstLine="0"/>
        <w:jc w:val="left"/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material interference with school activities, and no disturbances or disorders on the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enturySchoolbook" w:hAnsi="CenturySchoolbook" w:cs="CenturySchoolbook" w:eastAsia="CenturySchoolbook"/>
          <w:color w:val="auto"/>
          <w:spacing w:val="0"/>
          <w:position w:val="0"/>
          <w:sz w:val="24"/>
          <w:shd w:fill="auto" w:val="clear"/>
        </w:rPr>
        <w:t xml:space="preserve">school premises in fact occurred.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num w:numId="2">
    <w:abstractNumId w:val="12"/>
  </w:num>
  <w:num w:numId="4">
    <w:abstractNumId w:val="6"/>
  </w:num>
  <w:num w:numId="7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